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2D0285" w14:textId="77777777" w:rsidR="00F654C7" w:rsidRPr="00AD44B4" w:rsidRDefault="00F654C7" w:rsidP="00F654C7">
      <w:pPr>
        <w:pStyle w:val="Topline16Pt"/>
      </w:pPr>
      <w:r w:rsidRPr="00AD44B4">
        <w:t xml:space="preserve">Communiqué de </w:t>
      </w:r>
      <w:proofErr w:type="spellStart"/>
      <w:r w:rsidRPr="00AD44B4">
        <w:t>presse</w:t>
      </w:r>
      <w:proofErr w:type="spellEnd"/>
    </w:p>
    <w:p w14:paraId="347D9DD5" w14:textId="77777777" w:rsidR="00E84FB7" w:rsidRDefault="00E84FB7" w:rsidP="00EA30F0">
      <w:pPr>
        <w:pStyle w:val="HeadlineH233Pt"/>
        <w:rPr>
          <w:szCs w:val="66"/>
          <w:lang w:val="fr-FR"/>
        </w:rPr>
      </w:pPr>
      <w:r w:rsidRPr="00E84FB7">
        <w:rPr>
          <w:szCs w:val="66"/>
          <w:lang w:val="fr-FR"/>
        </w:rPr>
        <w:t>Système de chargement rotatif RLS élargi</w:t>
      </w:r>
    </w:p>
    <w:p w14:paraId="5B869BA1" w14:textId="5C8D5187" w:rsidR="00B81ED6" w:rsidRPr="00E84FB7" w:rsidRDefault="00B81ED6" w:rsidP="00EA30F0">
      <w:pPr>
        <w:pStyle w:val="HeadlineH233Pt"/>
        <w:rPr>
          <w:rFonts w:ascii="Tahoma" w:hAnsi="Tahoma" w:cs="Tahoma"/>
          <w:lang w:val="en-US"/>
        </w:rPr>
      </w:pPr>
      <w:r w:rsidRPr="008F5F17">
        <w:rPr>
          <w:rFonts w:ascii="Tahoma" w:hAnsi="Tahoma" w:cs="Tahoma"/>
        </w:rPr>
        <w:t>⸺</w:t>
      </w:r>
    </w:p>
    <w:p w14:paraId="7563F916" w14:textId="77777777" w:rsidR="00E84FB7" w:rsidRPr="0071332F" w:rsidRDefault="00E84FB7" w:rsidP="00E84FB7">
      <w:pPr>
        <w:rPr>
          <w:rFonts w:ascii="Arial" w:hAnsi="Arial" w:cs="Arial"/>
          <w:b/>
          <w:bCs/>
          <w:sz w:val="24"/>
          <w:szCs w:val="24"/>
          <w:lang w:val="fr-FR"/>
        </w:rPr>
      </w:pPr>
      <w:r w:rsidRPr="0071332F">
        <w:rPr>
          <w:rFonts w:ascii="Arial" w:hAnsi="Arial" w:cs="Arial"/>
          <w:b/>
          <w:bCs/>
          <w:sz w:val="24"/>
          <w:szCs w:val="24"/>
          <w:lang w:val="fr-FR"/>
        </w:rPr>
        <w:t>Nouvelles variantes et fonctions optimisées pour une production flexible</w:t>
      </w:r>
    </w:p>
    <w:p w14:paraId="0064680A" w14:textId="77777777" w:rsidR="00E84FB7" w:rsidRPr="0071332F" w:rsidRDefault="00E84FB7" w:rsidP="00E84FB7">
      <w:pPr>
        <w:rPr>
          <w:rFonts w:ascii="Arial" w:hAnsi="Arial" w:cs="Arial"/>
          <w:b/>
          <w:bCs/>
          <w:lang w:val="fr-FR"/>
        </w:rPr>
      </w:pPr>
      <w:r w:rsidRPr="00827347">
        <w:rPr>
          <w:rFonts w:ascii="Arial" w:hAnsi="Arial" w:cs="Arial"/>
          <w:b/>
          <w:bCs/>
          <w:lang w:val="fr-FR"/>
        </w:rPr>
        <w:t>L</w:t>
      </w:r>
      <w:r>
        <w:rPr>
          <w:rFonts w:ascii="Arial" w:hAnsi="Arial" w:cs="Arial"/>
          <w:b/>
          <w:bCs/>
          <w:lang w:val="fr-FR"/>
        </w:rPr>
        <w:t>a sté L</w:t>
      </w:r>
      <w:r w:rsidRPr="00827347">
        <w:rPr>
          <w:rFonts w:ascii="Arial" w:hAnsi="Arial" w:cs="Arial"/>
          <w:b/>
          <w:bCs/>
          <w:lang w:val="fr-FR"/>
        </w:rPr>
        <w:t>iebherr-</w:t>
      </w:r>
      <w:proofErr w:type="spellStart"/>
      <w:r w:rsidRPr="00827347">
        <w:rPr>
          <w:rFonts w:ascii="Arial" w:hAnsi="Arial" w:cs="Arial"/>
          <w:b/>
          <w:bCs/>
          <w:lang w:val="fr-FR"/>
        </w:rPr>
        <w:t>Verzahntechnik</w:t>
      </w:r>
      <w:proofErr w:type="spellEnd"/>
      <w:r w:rsidRPr="00827347">
        <w:rPr>
          <w:rFonts w:ascii="Arial" w:hAnsi="Arial" w:cs="Arial"/>
          <w:b/>
          <w:bCs/>
          <w:lang w:val="fr-FR"/>
        </w:rPr>
        <w:t xml:space="preserve"> GmbH a revu et perfectionné son système de chargement rotatif compact RLS pour le chargement automatisé et sur commande de machines. Avec une classe de charge supplémentaire pour des poids </w:t>
      </w:r>
      <w:r>
        <w:rPr>
          <w:rFonts w:ascii="Arial" w:hAnsi="Arial" w:cs="Arial"/>
          <w:b/>
          <w:bCs/>
          <w:lang w:val="fr-FR"/>
        </w:rPr>
        <w:t>à</w:t>
      </w:r>
      <w:r w:rsidRPr="00827347">
        <w:rPr>
          <w:rFonts w:ascii="Arial" w:hAnsi="Arial" w:cs="Arial"/>
          <w:b/>
          <w:bCs/>
          <w:lang w:val="fr-FR"/>
        </w:rPr>
        <w:t xml:space="preserve"> transport</w:t>
      </w:r>
      <w:r>
        <w:rPr>
          <w:rFonts w:ascii="Arial" w:hAnsi="Arial" w:cs="Arial"/>
          <w:b/>
          <w:bCs/>
          <w:lang w:val="fr-FR"/>
        </w:rPr>
        <w:t>er</w:t>
      </w:r>
      <w:r w:rsidRPr="00827347">
        <w:rPr>
          <w:rFonts w:ascii="Arial" w:hAnsi="Arial" w:cs="Arial"/>
          <w:b/>
          <w:bCs/>
          <w:lang w:val="fr-FR"/>
        </w:rPr>
        <w:t xml:space="preserve"> jusqu'à 2 000 kilogrammes, une densité de stockage accrue et des diamètres de cercle d'interférence élargis, le spécialiste de l'automatisation répond aux exigences actuelles de </w:t>
      </w:r>
      <w:r>
        <w:rPr>
          <w:rFonts w:ascii="Arial" w:hAnsi="Arial" w:cs="Arial"/>
          <w:b/>
          <w:bCs/>
          <w:lang w:val="fr-FR"/>
        </w:rPr>
        <w:t>la produc</w:t>
      </w:r>
      <w:r w:rsidRPr="00827347">
        <w:rPr>
          <w:rFonts w:ascii="Arial" w:hAnsi="Arial" w:cs="Arial"/>
          <w:b/>
          <w:bCs/>
          <w:lang w:val="fr-FR"/>
        </w:rPr>
        <w:t>tion. La nouvelle version sera présentée au salon EMO 2025 de Hanovre, en Allemagne.</w:t>
      </w:r>
    </w:p>
    <w:p w14:paraId="2FABF242" w14:textId="77777777" w:rsidR="00E84FB7" w:rsidRPr="0071332F" w:rsidRDefault="00E84FB7" w:rsidP="00E84FB7">
      <w:pPr>
        <w:rPr>
          <w:rFonts w:ascii="Arial" w:hAnsi="Arial" w:cs="Arial"/>
          <w:lang w:val="en-US"/>
        </w:rPr>
      </w:pPr>
      <w:r w:rsidRPr="00EB0EC0">
        <w:rPr>
          <w:rFonts w:ascii="Arial" w:hAnsi="Arial" w:cs="Arial"/>
          <w:lang w:val="fr-FR"/>
        </w:rPr>
        <w:t>Le RLS se compose d'un rayonnage circulaire, d'un module élévateur, d'une station de préparation et d'une tour de stockage en option. Il constitue un système intelligent de transport et de stockage en amont de l'usinage des pièces et les intègre automatiquement au process. Il peut automatiser jusqu'à deux centres d'usinage, offre une grande flexibilité de configuration et une densité de stockage élevée pour un encombrement minimal. Il est donc particulièrement adapté à une entrée rentable dans la production automatisée.</w:t>
      </w:r>
    </w:p>
    <w:p w14:paraId="70285505" w14:textId="77777777" w:rsidR="00E84FB7" w:rsidRPr="0071332F" w:rsidRDefault="00E84FB7" w:rsidP="00E84FB7">
      <w:pPr>
        <w:rPr>
          <w:rFonts w:ascii="Arial" w:hAnsi="Arial" w:cs="Arial"/>
          <w:b/>
          <w:bCs/>
          <w:lang w:val="fr-FR"/>
        </w:rPr>
      </w:pPr>
      <w:r w:rsidRPr="0071332F">
        <w:rPr>
          <w:rFonts w:ascii="Arial" w:hAnsi="Arial" w:cs="Arial"/>
          <w:b/>
          <w:bCs/>
          <w:lang w:val="fr-FR"/>
        </w:rPr>
        <w:t>Conception modulaire pour une configuration adaptée aux besoins</w:t>
      </w:r>
    </w:p>
    <w:p w14:paraId="0B8B1BB3" w14:textId="56529C26" w:rsidR="001A07C5" w:rsidRDefault="00E84FB7" w:rsidP="00E84FB7">
      <w:pPr>
        <w:pStyle w:val="Copyhead11Pt"/>
        <w:rPr>
          <w:rFonts w:cs="Arial"/>
          <w:b w:val="0"/>
          <w:bCs/>
          <w:lang w:val="fr-FR"/>
        </w:rPr>
      </w:pPr>
      <w:r w:rsidRPr="00E84FB7">
        <w:rPr>
          <w:rFonts w:cs="Arial"/>
          <w:b w:val="0"/>
          <w:bCs/>
          <w:lang w:val="fr-FR"/>
        </w:rPr>
        <w:t>L'architecture du système RLS repose sur un principe de conception modulaire. Chaque module de base du système peut être configuré individuellement pour la classe de charge requise, permettant ainsi une adaptation précise du RLS à l'environnement de production concerné. Le module élévateur stocke les composants de manière entièrement automatique dans le rayon de stockage, disponible en versions de deux à quatre niveaux. La conception indépendante du fabricant garantit également la connexion à une grande variété de centres d'usinage.</w:t>
      </w:r>
    </w:p>
    <w:p w14:paraId="22245E23" w14:textId="77777777" w:rsidR="00E84FB7" w:rsidRPr="0071332F" w:rsidRDefault="00E84FB7" w:rsidP="00E84FB7">
      <w:pPr>
        <w:rPr>
          <w:rFonts w:ascii="Arial" w:hAnsi="Arial" w:cs="Arial"/>
          <w:b/>
          <w:bCs/>
          <w:lang w:val="fr-FR"/>
        </w:rPr>
      </w:pPr>
      <w:r w:rsidRPr="0071332F">
        <w:rPr>
          <w:rFonts w:ascii="Arial" w:hAnsi="Arial" w:cs="Arial"/>
          <w:b/>
          <w:bCs/>
          <w:lang w:val="fr-FR"/>
        </w:rPr>
        <w:t>Nouvelle variante pour les grandes pièces</w:t>
      </w:r>
    </w:p>
    <w:p w14:paraId="683C21EE" w14:textId="77777777" w:rsidR="00E84FB7" w:rsidRPr="0071332F" w:rsidRDefault="00E84FB7" w:rsidP="00E84FB7">
      <w:pPr>
        <w:rPr>
          <w:rFonts w:ascii="Arial" w:hAnsi="Arial" w:cs="Arial"/>
          <w:lang w:val="fr-FR"/>
        </w:rPr>
      </w:pPr>
      <w:r w:rsidRPr="001D56E2">
        <w:rPr>
          <w:rFonts w:ascii="Arial" w:hAnsi="Arial" w:cs="Arial"/>
          <w:lang w:val="fr-FR"/>
        </w:rPr>
        <w:t>Une nouvelle taille est disponible pour une charge transportée jusqu'à 2 000 kilogrammes, complétant les catégories de poids existantes de 800 et 1 500 kilogrammes. Cela permet d'intégrer efficacement des pièces encore plus grandes et plus lourdes dans la production automatisée. Les diamètres d'interférence maximaux ont également été étendus à 900 et 1 400 millimètres, permettant une adaptation optimale du système à la gamme de pièces.</w:t>
      </w:r>
    </w:p>
    <w:p w14:paraId="44EFF88E" w14:textId="77777777" w:rsidR="00E84FB7" w:rsidRPr="0071332F" w:rsidRDefault="00E84FB7" w:rsidP="00E84FB7">
      <w:pPr>
        <w:rPr>
          <w:rFonts w:ascii="Arial" w:hAnsi="Arial" w:cs="Arial"/>
          <w:b/>
          <w:bCs/>
          <w:lang w:val="fr-FR"/>
        </w:rPr>
      </w:pPr>
      <w:r w:rsidRPr="0071332F">
        <w:rPr>
          <w:rFonts w:ascii="Arial" w:hAnsi="Arial" w:cs="Arial"/>
          <w:b/>
          <w:bCs/>
          <w:lang w:val="fr-FR"/>
        </w:rPr>
        <w:t>Zone d</w:t>
      </w:r>
      <w:r>
        <w:rPr>
          <w:rFonts w:ascii="Arial" w:hAnsi="Arial" w:cs="Arial"/>
          <w:b/>
          <w:bCs/>
          <w:lang w:val="fr-FR"/>
        </w:rPr>
        <w:t>e réglage</w:t>
      </w:r>
      <w:r w:rsidRPr="0071332F">
        <w:rPr>
          <w:rFonts w:ascii="Arial" w:hAnsi="Arial" w:cs="Arial"/>
          <w:b/>
          <w:bCs/>
          <w:lang w:val="fr-FR"/>
        </w:rPr>
        <w:t xml:space="preserve"> optimisée</w:t>
      </w:r>
    </w:p>
    <w:p w14:paraId="451F2E56" w14:textId="77777777" w:rsidR="00E84FB7" w:rsidRPr="0071332F" w:rsidRDefault="00E84FB7" w:rsidP="00E84FB7">
      <w:pPr>
        <w:rPr>
          <w:rFonts w:ascii="Arial" w:hAnsi="Arial" w:cs="Arial"/>
          <w:lang w:val="fr-FR"/>
        </w:rPr>
      </w:pPr>
      <w:r w:rsidRPr="00BC64C0">
        <w:rPr>
          <w:rFonts w:ascii="Arial" w:hAnsi="Arial" w:cs="Arial"/>
          <w:lang w:val="fr-FR"/>
        </w:rPr>
        <w:t>Le poste de réglage ergonomique et modulaire a été entièrement repensé. Il propose des unités rotatives manuelles ou électriques, ainsi qu'un système de serrage hydraulique intégré. Une nouveauté : la possibilité d'aligner les pièces directement sur le poste de réglage grâce à un roulement de précision. Auparavant, cette fonction n'était possible qu</w:t>
      </w:r>
      <w:r>
        <w:rPr>
          <w:rFonts w:ascii="Arial" w:hAnsi="Arial" w:cs="Arial"/>
          <w:lang w:val="fr-FR"/>
        </w:rPr>
        <w:t>e pour</w:t>
      </w:r>
      <w:r w:rsidRPr="00BC64C0">
        <w:rPr>
          <w:rFonts w:ascii="Arial" w:hAnsi="Arial" w:cs="Arial"/>
          <w:lang w:val="fr-FR"/>
        </w:rPr>
        <w:t xml:space="preserve"> le poste de réglage autonome ; elle est désormais également disponible </w:t>
      </w:r>
      <w:r>
        <w:rPr>
          <w:rFonts w:ascii="Arial" w:hAnsi="Arial" w:cs="Arial"/>
          <w:lang w:val="fr-FR"/>
        </w:rPr>
        <w:t>pour</w:t>
      </w:r>
      <w:r w:rsidRPr="00BC64C0">
        <w:rPr>
          <w:rFonts w:ascii="Arial" w:hAnsi="Arial" w:cs="Arial"/>
          <w:lang w:val="fr-FR"/>
        </w:rPr>
        <w:t xml:space="preserve"> le poste de réglage </w:t>
      </w:r>
      <w:r>
        <w:rPr>
          <w:rFonts w:ascii="Arial" w:hAnsi="Arial" w:cs="Arial"/>
          <w:lang w:val="fr-FR"/>
        </w:rPr>
        <w:t>en tonneau</w:t>
      </w:r>
      <w:r w:rsidRPr="00BC64C0">
        <w:rPr>
          <w:rFonts w:ascii="Arial" w:hAnsi="Arial" w:cs="Arial"/>
          <w:lang w:val="fr-FR"/>
        </w:rPr>
        <w:t>.</w:t>
      </w:r>
    </w:p>
    <w:p w14:paraId="3E4DB731" w14:textId="77777777" w:rsidR="00E84FB7" w:rsidRPr="0071332F" w:rsidRDefault="00E84FB7" w:rsidP="00E84FB7">
      <w:pPr>
        <w:rPr>
          <w:rFonts w:ascii="Arial" w:hAnsi="Arial" w:cs="Arial"/>
          <w:b/>
          <w:bCs/>
          <w:lang w:val="fr-FR"/>
        </w:rPr>
      </w:pPr>
      <w:r w:rsidRPr="0071332F">
        <w:rPr>
          <w:rFonts w:ascii="Arial" w:hAnsi="Arial" w:cs="Arial"/>
          <w:b/>
          <w:bCs/>
          <w:lang w:val="fr-FR"/>
        </w:rPr>
        <w:lastRenderedPageBreak/>
        <w:t>Réponse aux besoins changeants des clients</w:t>
      </w:r>
    </w:p>
    <w:p w14:paraId="46799ABB" w14:textId="77777777" w:rsidR="00E84FB7" w:rsidRDefault="00E84FB7" w:rsidP="00E84FB7">
      <w:pPr>
        <w:rPr>
          <w:rFonts w:ascii="Arial" w:hAnsi="Arial" w:cs="Arial"/>
          <w:lang w:val="fr-FR"/>
        </w:rPr>
      </w:pPr>
      <w:r w:rsidRPr="00573245">
        <w:rPr>
          <w:rFonts w:ascii="Arial" w:hAnsi="Arial" w:cs="Arial"/>
          <w:lang w:val="fr-FR"/>
        </w:rPr>
        <w:t xml:space="preserve">Cette expansion est motivée par la demande croissante des clients dont les machines traitent désormais des pièces de plus en plus grandes, lourdes et volumineuses. L'objectif n'était pas de repenser la conception, mais plutôt de maximiser les avantages pour les clients grâce à une optimisation de l'espace et à des poids </w:t>
      </w:r>
      <w:r>
        <w:rPr>
          <w:rFonts w:ascii="Arial" w:hAnsi="Arial" w:cs="Arial"/>
          <w:lang w:val="fr-FR"/>
        </w:rPr>
        <w:t>t</w:t>
      </w:r>
      <w:r w:rsidRPr="00573245">
        <w:rPr>
          <w:rFonts w:ascii="Arial" w:hAnsi="Arial" w:cs="Arial"/>
          <w:lang w:val="fr-FR"/>
        </w:rPr>
        <w:t>ransport</w:t>
      </w:r>
      <w:r>
        <w:rPr>
          <w:rFonts w:ascii="Arial" w:hAnsi="Arial" w:cs="Arial"/>
          <w:lang w:val="fr-FR"/>
        </w:rPr>
        <w:t>és</w:t>
      </w:r>
      <w:r w:rsidRPr="00573245">
        <w:rPr>
          <w:rFonts w:ascii="Arial" w:hAnsi="Arial" w:cs="Arial"/>
          <w:lang w:val="fr-FR"/>
        </w:rPr>
        <w:t xml:space="preserve"> plus élevés : « Cette </w:t>
      </w:r>
      <w:r>
        <w:rPr>
          <w:rFonts w:ascii="Arial" w:hAnsi="Arial" w:cs="Arial"/>
          <w:lang w:val="fr-FR"/>
        </w:rPr>
        <w:t>évolution</w:t>
      </w:r>
      <w:r w:rsidRPr="00573245">
        <w:rPr>
          <w:rFonts w:ascii="Arial" w:hAnsi="Arial" w:cs="Arial"/>
          <w:lang w:val="fr-FR"/>
        </w:rPr>
        <w:t xml:space="preserve"> était une étape logique, car l'automatisation ne devait pas </w:t>
      </w:r>
      <w:r w:rsidRPr="00E84FB7">
        <w:rPr>
          <w:rFonts w:ascii="Arial" w:hAnsi="Arial" w:cs="Arial"/>
          <w:lang w:val="fr-FR"/>
        </w:rPr>
        <w:t>limiter la machine, mais plutôt élargir son spectre d'applications », explique M. Markus Zollitsch, Chef de Projet pour le développement du RLS. L'objectif est de réduire les coûts de production, de pouvoir réagir rapidement aux fluctuations du marché et de garantir une facilité d’utilisation, une fiabilité des process et une qualité optimales.</w:t>
      </w:r>
    </w:p>
    <w:p w14:paraId="245FCB22" w14:textId="77777777" w:rsidR="00E84FB7" w:rsidRPr="0071332F" w:rsidRDefault="00E84FB7" w:rsidP="00E84FB7">
      <w:pPr>
        <w:rPr>
          <w:rFonts w:ascii="Arial" w:hAnsi="Arial" w:cs="Arial"/>
          <w:b/>
          <w:bCs/>
          <w:lang w:val="fr-FR"/>
        </w:rPr>
      </w:pPr>
      <w:r w:rsidRPr="0071332F">
        <w:rPr>
          <w:rFonts w:ascii="Arial" w:hAnsi="Arial" w:cs="Arial"/>
          <w:b/>
          <w:bCs/>
          <w:lang w:val="fr-FR"/>
        </w:rPr>
        <w:t>Approche de développement « Design to Value »</w:t>
      </w:r>
    </w:p>
    <w:p w14:paraId="0A00904D" w14:textId="77777777" w:rsidR="00E84FB7" w:rsidRPr="0071332F" w:rsidRDefault="00E84FB7" w:rsidP="00E84FB7">
      <w:pPr>
        <w:rPr>
          <w:rFonts w:ascii="Arial" w:hAnsi="Arial" w:cs="Arial"/>
          <w:lang w:val="fr-FR"/>
        </w:rPr>
      </w:pPr>
      <w:r w:rsidRPr="00894257">
        <w:rPr>
          <w:rFonts w:ascii="Arial" w:hAnsi="Arial" w:cs="Arial"/>
          <w:lang w:val="fr-FR"/>
        </w:rPr>
        <w:t xml:space="preserve">Cette </w:t>
      </w:r>
      <w:r>
        <w:rPr>
          <w:rFonts w:ascii="Arial" w:hAnsi="Arial" w:cs="Arial"/>
          <w:lang w:val="fr-FR"/>
        </w:rPr>
        <w:t>évolution</w:t>
      </w:r>
      <w:r w:rsidRPr="00894257">
        <w:rPr>
          <w:rFonts w:ascii="Arial" w:hAnsi="Arial" w:cs="Arial"/>
          <w:lang w:val="fr-FR"/>
        </w:rPr>
        <w:t xml:space="preserve"> s'inscrit dans le principe de « Design to Value ». L'objectif était de concilier les </w:t>
      </w:r>
      <w:r>
        <w:rPr>
          <w:rFonts w:ascii="Arial" w:hAnsi="Arial" w:cs="Arial"/>
          <w:lang w:val="fr-FR"/>
        </w:rPr>
        <w:t>besoin</w:t>
      </w:r>
      <w:r w:rsidRPr="00894257">
        <w:rPr>
          <w:rFonts w:ascii="Arial" w:hAnsi="Arial" w:cs="Arial"/>
          <w:lang w:val="fr-FR"/>
        </w:rPr>
        <w:t xml:space="preserve">s clés des clients avec une rentabilité élevée. « Nous souhaitions un équilibre optimal entre performance, qualité et </w:t>
      </w:r>
      <w:r w:rsidRPr="00E84FB7">
        <w:rPr>
          <w:rFonts w:ascii="Arial" w:hAnsi="Arial" w:cs="Arial"/>
          <w:lang w:val="fr-FR"/>
        </w:rPr>
        <w:t>rentabilité », explique M. Knut Jendrok, Directeur Commercial des Systèmes de Fabrication flexibles. Le RLS reste indépendant du fabricant et peut être combiné avec différents centres d'usinage, comme auparavant</w:t>
      </w:r>
      <w:r w:rsidRPr="00894257">
        <w:rPr>
          <w:rFonts w:ascii="Arial" w:hAnsi="Arial" w:cs="Arial"/>
          <w:lang w:val="fr-FR"/>
        </w:rPr>
        <w:t>.</w:t>
      </w:r>
    </w:p>
    <w:p w14:paraId="4123AC6C" w14:textId="77777777" w:rsidR="00E84FB7" w:rsidRPr="0071332F" w:rsidRDefault="00E84FB7" w:rsidP="00E84FB7">
      <w:pPr>
        <w:rPr>
          <w:rFonts w:ascii="Arial" w:hAnsi="Arial" w:cs="Arial"/>
          <w:lang w:val="fr-FR"/>
        </w:rPr>
      </w:pPr>
    </w:p>
    <w:p w14:paraId="66380238" w14:textId="77777777" w:rsidR="001A07C5" w:rsidRPr="00E84FB7" w:rsidRDefault="001A07C5" w:rsidP="001F6AD5">
      <w:pPr>
        <w:pStyle w:val="Copyhead11Pt"/>
        <w:rPr>
          <w:lang w:val="fr-FR"/>
        </w:rPr>
      </w:pPr>
    </w:p>
    <w:p w14:paraId="01998A0B" w14:textId="5FF15114" w:rsidR="00E84FB7" w:rsidRPr="00C03548" w:rsidRDefault="00E84FB7" w:rsidP="00E84FB7">
      <w:pPr>
        <w:pStyle w:val="Copyhead11Pt"/>
        <w:rPr>
          <w:lang w:val="de-DE"/>
        </w:rPr>
      </w:pPr>
      <w:bookmarkStart w:id="0" w:name="_Hlk204944849"/>
      <w:r>
        <w:rPr>
          <w:noProof/>
        </w:rPr>
        <w:drawing>
          <wp:anchor distT="0" distB="0" distL="114300" distR="114300" simplePos="0" relativeHeight="251659264" behindDoc="0" locked="0" layoutInCell="1" allowOverlap="1" wp14:anchorId="75C75A73" wp14:editId="7BE5D52D">
            <wp:simplePos x="0" y="0"/>
            <wp:positionH relativeFrom="column">
              <wp:posOffset>635</wp:posOffset>
            </wp:positionH>
            <wp:positionV relativeFrom="paragraph">
              <wp:posOffset>314960</wp:posOffset>
            </wp:positionV>
            <wp:extent cx="1745447" cy="1051560"/>
            <wp:effectExtent l="0" t="0" r="7620" b="0"/>
            <wp:wrapNone/>
            <wp:docPr id="37139003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390032" name=""/>
                    <pic:cNvPicPr/>
                  </pic:nvPicPr>
                  <pic:blipFill>
                    <a:blip r:embed="rId8">
                      <a:extLst>
                        <a:ext uri="{28A0092B-C50C-407E-A947-70E740481C1C}">
                          <a14:useLocalDpi xmlns:a14="http://schemas.microsoft.com/office/drawing/2010/main" val="0"/>
                        </a:ext>
                      </a:extLst>
                    </a:blip>
                    <a:stretch>
                      <a:fillRect/>
                    </a:stretch>
                  </pic:blipFill>
                  <pic:spPr>
                    <a:xfrm>
                      <a:off x="0" y="0"/>
                      <a:ext cx="1745447" cy="1051560"/>
                    </a:xfrm>
                    <a:prstGeom prst="rect">
                      <a:avLst/>
                    </a:prstGeom>
                  </pic:spPr>
                </pic:pic>
              </a:graphicData>
            </a:graphic>
            <wp14:sizeRelH relativeFrom="page">
              <wp14:pctWidth>0</wp14:pctWidth>
            </wp14:sizeRelH>
            <wp14:sizeRelV relativeFrom="page">
              <wp14:pctHeight>0</wp14:pctHeight>
            </wp14:sizeRelV>
          </wp:anchor>
        </w:drawing>
      </w:r>
      <w:proofErr w:type="spellStart"/>
      <w:r>
        <w:rPr>
          <w:lang w:val="de-DE"/>
        </w:rPr>
        <w:t>Photos</w:t>
      </w:r>
      <w:proofErr w:type="spellEnd"/>
    </w:p>
    <w:bookmarkEnd w:id="0"/>
    <w:p w14:paraId="7A517E17" w14:textId="77777777" w:rsidR="00E84FB7" w:rsidRDefault="00E84FB7" w:rsidP="00E84FB7">
      <w:pPr>
        <w:pStyle w:val="Copyhead11Pt"/>
        <w:rPr>
          <w:lang w:val="de-DE"/>
        </w:rPr>
      </w:pPr>
    </w:p>
    <w:p w14:paraId="235F3E1B" w14:textId="77777777" w:rsidR="00E84FB7" w:rsidRDefault="00E84FB7" w:rsidP="00E84FB7">
      <w:pPr>
        <w:pStyle w:val="Copyhead11Pt"/>
        <w:rPr>
          <w:lang w:val="de-DE"/>
        </w:rPr>
      </w:pPr>
    </w:p>
    <w:p w14:paraId="17DE59AB" w14:textId="77777777" w:rsidR="00E84FB7" w:rsidRDefault="00E84FB7" w:rsidP="00E84FB7">
      <w:pPr>
        <w:pStyle w:val="Copyhead11Pt"/>
        <w:rPr>
          <w:lang w:val="de-DE"/>
        </w:rPr>
      </w:pPr>
    </w:p>
    <w:p w14:paraId="4822B004" w14:textId="77777777" w:rsidR="00E84FB7" w:rsidRPr="00CE618B" w:rsidRDefault="00E84FB7" w:rsidP="00E84FB7">
      <w:pPr>
        <w:pStyle w:val="Copyhead11Pt"/>
        <w:rPr>
          <w:b w:val="0"/>
          <w:bCs/>
          <w:sz w:val="18"/>
          <w:lang w:val="de-DE"/>
        </w:rPr>
      </w:pPr>
      <w:r w:rsidRPr="00CE618B">
        <w:rPr>
          <w:b w:val="0"/>
          <w:bCs/>
          <w:sz w:val="18"/>
          <w:lang w:val="de-DE"/>
        </w:rPr>
        <w:t>evotion_RLS_03</w:t>
      </w:r>
    </w:p>
    <w:p w14:paraId="39AFC528" w14:textId="3033298C" w:rsidR="00E80D9A" w:rsidRPr="00EA30F0" w:rsidRDefault="00E80D9A" w:rsidP="00EA30F0">
      <w:pPr>
        <w:pStyle w:val="Copyhead11Pt"/>
        <w:rPr>
          <w:sz w:val="18"/>
        </w:rPr>
      </w:pPr>
      <w:r>
        <w:t>Contact</w:t>
      </w:r>
    </w:p>
    <w:p w14:paraId="272B65B3" w14:textId="77777777" w:rsidR="00E80D9A" w:rsidRPr="004E6C6B" w:rsidRDefault="00E80D9A" w:rsidP="00E80D9A">
      <w:pPr>
        <w:pStyle w:val="Copytext11Pt"/>
      </w:pPr>
      <w:r w:rsidRPr="004E6C6B">
        <w:t>Thomas Weber</w:t>
      </w:r>
      <w:r w:rsidRPr="004E6C6B">
        <w:br/>
        <w:t>Head of Marketing</w:t>
      </w:r>
      <w:r w:rsidRPr="004E6C6B">
        <w:br/>
      </w:r>
      <w:proofErr w:type="spellStart"/>
      <w:r w:rsidRPr="004E6C6B">
        <w:t>Telefon</w:t>
      </w:r>
      <w:proofErr w:type="spellEnd"/>
      <w:r w:rsidRPr="004E6C6B">
        <w:t>: +49 831 / 786 - 3285</w:t>
      </w:r>
      <w:r w:rsidRPr="004E6C6B">
        <w:br/>
        <w:t xml:space="preserve">E-Mail: thomas.weber@liebherr.com </w:t>
      </w:r>
    </w:p>
    <w:p w14:paraId="0B7C398D" w14:textId="77777777" w:rsidR="009B3684" w:rsidRDefault="009B3684" w:rsidP="009B3684">
      <w:pPr>
        <w:pStyle w:val="Copyhead11Pt"/>
        <w:rPr>
          <w:lang w:val="fr-FR"/>
        </w:rPr>
      </w:pPr>
      <w:r>
        <w:rPr>
          <w:lang w:val="fr-FR"/>
        </w:rPr>
        <w:t>Publié par</w:t>
      </w:r>
    </w:p>
    <w:p w14:paraId="011C26D3" w14:textId="77777777" w:rsidR="00E80D9A" w:rsidRPr="00B81ED6" w:rsidRDefault="00E80D9A" w:rsidP="00E80D9A">
      <w:pPr>
        <w:pStyle w:val="Copytext11Pt"/>
        <w:rPr>
          <w:lang w:val="de-DE"/>
        </w:rPr>
      </w:pPr>
      <w:r>
        <w:rPr>
          <w:lang w:val="de-DE"/>
        </w:rPr>
        <w:t>Liebherr-</w:t>
      </w:r>
      <w:proofErr w:type="spellStart"/>
      <w:r>
        <w:rPr>
          <w:lang w:val="de-DE"/>
        </w:rPr>
        <w:t>Verzahntechnik</w:t>
      </w:r>
      <w:proofErr w:type="spellEnd"/>
      <w:r>
        <w:rPr>
          <w:lang w:val="de-DE"/>
        </w:rPr>
        <w:t xml:space="preserve"> GmbH</w:t>
      </w:r>
      <w:r w:rsidRPr="00BA1DEA">
        <w:rPr>
          <w:lang w:val="de-DE"/>
        </w:rPr>
        <w:t xml:space="preserve"> </w:t>
      </w:r>
      <w:r w:rsidRPr="00BA1DEA">
        <w:rPr>
          <w:lang w:val="de-DE"/>
        </w:rPr>
        <w:br/>
      </w:r>
      <w:r>
        <w:rPr>
          <w:lang w:val="de-DE"/>
        </w:rPr>
        <w:t>Kempten</w:t>
      </w:r>
      <w:r w:rsidRPr="00BA1DEA">
        <w:rPr>
          <w:lang w:val="de-DE"/>
        </w:rPr>
        <w:t> / </w:t>
      </w:r>
      <w:r>
        <w:rPr>
          <w:lang w:val="de-DE"/>
        </w:rPr>
        <w:t>Germany</w:t>
      </w:r>
      <w:r w:rsidRPr="00BA1DEA">
        <w:rPr>
          <w:lang w:val="de-DE"/>
        </w:rPr>
        <w:br/>
      </w:r>
      <w:hyperlink r:id="rId9" w:history="1">
        <w:r w:rsidRPr="00BA1DEA">
          <w:rPr>
            <w:lang w:val="de-DE"/>
          </w:rPr>
          <w:t>www.liebherr.com</w:t>
        </w:r>
      </w:hyperlink>
    </w:p>
    <w:sectPr w:rsidR="00E80D9A" w:rsidRPr="00B81ED6" w:rsidSect="00CA7BAB">
      <w:headerReference w:type="default" r:id="rId10"/>
      <w:footerReference w:type="default" r:id="rId11"/>
      <w:pgSz w:w="11906" w:h="16838"/>
      <w:pgMar w:top="851" w:right="680" w:bottom="1276" w:left="680"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AFF5CB" w14:textId="77777777" w:rsidR="00251EC8" w:rsidRDefault="00251EC8" w:rsidP="00B81ED6">
      <w:pPr>
        <w:spacing w:after="0" w:line="240" w:lineRule="auto"/>
      </w:pPr>
      <w:r>
        <w:separator/>
      </w:r>
    </w:p>
  </w:endnote>
  <w:endnote w:type="continuationSeparator" w:id="0">
    <w:p w14:paraId="52AEBF56" w14:textId="77777777" w:rsidR="00251EC8" w:rsidRDefault="00251EC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11964" w14:textId="14F843FA"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E84FB7">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E84FB7">
      <w:rPr>
        <w:rFonts w:ascii="Arial" w:hAnsi="Arial" w:cs="Arial"/>
        <w:noProof/>
      </w:rPr>
      <w:instrText>1</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E84FB7">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 </w:instrText>
    </w:r>
    <w:r w:rsidR="00E84FB7">
      <w:rPr>
        <w:rFonts w:ascii="Arial" w:hAnsi="Arial" w:cs="Arial"/>
      </w:rPr>
      <w:fldChar w:fldCharType="separate"/>
    </w:r>
    <w:r w:rsidR="00E84FB7">
      <w:rPr>
        <w:rFonts w:ascii="Arial" w:hAnsi="Arial" w:cs="Arial"/>
        <w:noProof/>
      </w:rPr>
      <w:t>1</w:t>
    </w:r>
    <w:r w:rsidR="00E84FB7" w:rsidRPr="0093605C">
      <w:rPr>
        <w:rFonts w:ascii="Arial" w:hAnsi="Arial" w:cs="Arial"/>
        <w:noProof/>
      </w:rPr>
      <w:t>/</w:t>
    </w:r>
    <w:r w:rsidR="00E84FB7">
      <w:rPr>
        <w:rFonts w:ascii="Arial" w:hAnsi="Arial" w:cs="Arial"/>
        <w:noProof/>
      </w:rPr>
      <w:t>2</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E99496" w14:textId="77777777" w:rsidR="00251EC8" w:rsidRDefault="00251EC8" w:rsidP="00B81ED6">
      <w:pPr>
        <w:spacing w:after="0" w:line="240" w:lineRule="auto"/>
      </w:pPr>
      <w:r>
        <w:separator/>
      </w:r>
    </w:p>
  </w:footnote>
  <w:footnote w:type="continuationSeparator" w:id="0">
    <w:p w14:paraId="54B7D899" w14:textId="77777777" w:rsidR="00251EC8" w:rsidRDefault="00251EC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53A63" w14:textId="77777777" w:rsidR="00E847CC" w:rsidRDefault="00E847CC">
    <w:pPr>
      <w:pStyle w:val="Kopfzeile"/>
    </w:pPr>
    <w:r>
      <w:tab/>
    </w:r>
    <w:r>
      <w:tab/>
    </w:r>
    <w:r>
      <w:ptab w:relativeTo="margin" w:alignment="right" w:leader="none"/>
    </w:r>
    <w:r>
      <w:rPr>
        <w:noProof/>
        <w:lang w:eastAsia="de-DE"/>
      </w:rPr>
      <w:drawing>
        <wp:inline distT="0" distB="0" distL="0" distR="0" wp14:anchorId="0B3DFEBB" wp14:editId="6461FDD5">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5A8D9778"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23DE334E"/>
    <w:multiLevelType w:val="hybridMultilevel"/>
    <w:tmpl w:val="06DEDDDE"/>
    <w:lvl w:ilvl="0" w:tplc="FF96CA7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513EFA"/>
    <w:multiLevelType w:val="multilevel"/>
    <w:tmpl w:val="A12230F4"/>
    <w:numStyleLink w:val="TitleRuleListStyleLH"/>
  </w:abstractNum>
  <w:num w:numId="1" w16cid:durableId="1153135882">
    <w:abstractNumId w:val="0"/>
  </w:num>
  <w:num w:numId="2" w16cid:durableId="1379628554">
    <w:abstractNumId w:val="3"/>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452671525">
    <w:abstractNumId w:val="1"/>
  </w:num>
  <w:num w:numId="4" w16cid:durableId="10840624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33002"/>
    <w:rsid w:val="00066E54"/>
    <w:rsid w:val="00085A89"/>
    <w:rsid w:val="000E0C93"/>
    <w:rsid w:val="001419B4"/>
    <w:rsid w:val="00145DB7"/>
    <w:rsid w:val="00194D30"/>
    <w:rsid w:val="001A07C5"/>
    <w:rsid w:val="001F6AD5"/>
    <w:rsid w:val="00251EC8"/>
    <w:rsid w:val="00327624"/>
    <w:rsid w:val="003524D2"/>
    <w:rsid w:val="00371A5D"/>
    <w:rsid w:val="003774F2"/>
    <w:rsid w:val="003936A6"/>
    <w:rsid w:val="004932AF"/>
    <w:rsid w:val="00531B39"/>
    <w:rsid w:val="00555746"/>
    <w:rsid w:val="00556698"/>
    <w:rsid w:val="005802B2"/>
    <w:rsid w:val="005C3142"/>
    <w:rsid w:val="00652E53"/>
    <w:rsid w:val="007549DB"/>
    <w:rsid w:val="007B5A6E"/>
    <w:rsid w:val="007C2DD9"/>
    <w:rsid w:val="007F2586"/>
    <w:rsid w:val="00824226"/>
    <w:rsid w:val="008302D3"/>
    <w:rsid w:val="008337CF"/>
    <w:rsid w:val="00856AE6"/>
    <w:rsid w:val="008E6431"/>
    <w:rsid w:val="009169F9"/>
    <w:rsid w:val="0093605C"/>
    <w:rsid w:val="009648AC"/>
    <w:rsid w:val="00965077"/>
    <w:rsid w:val="00970F48"/>
    <w:rsid w:val="009A3D17"/>
    <w:rsid w:val="009B130E"/>
    <w:rsid w:val="009B3684"/>
    <w:rsid w:val="009E547C"/>
    <w:rsid w:val="00AB3EA1"/>
    <w:rsid w:val="00AC2129"/>
    <w:rsid w:val="00AF1F99"/>
    <w:rsid w:val="00B17D3F"/>
    <w:rsid w:val="00B81ED6"/>
    <w:rsid w:val="00BB0BFF"/>
    <w:rsid w:val="00BD7045"/>
    <w:rsid w:val="00C464EC"/>
    <w:rsid w:val="00C54E7B"/>
    <w:rsid w:val="00C77574"/>
    <w:rsid w:val="00CA7BAB"/>
    <w:rsid w:val="00D43B4C"/>
    <w:rsid w:val="00D63AFC"/>
    <w:rsid w:val="00DB6B9C"/>
    <w:rsid w:val="00DC6F67"/>
    <w:rsid w:val="00DD42FC"/>
    <w:rsid w:val="00DF40C0"/>
    <w:rsid w:val="00E01235"/>
    <w:rsid w:val="00E260E6"/>
    <w:rsid w:val="00E32363"/>
    <w:rsid w:val="00E80D9A"/>
    <w:rsid w:val="00E847CC"/>
    <w:rsid w:val="00E84FB7"/>
    <w:rsid w:val="00EA26F3"/>
    <w:rsid w:val="00EA30F0"/>
    <w:rsid w:val="00EB02DE"/>
    <w:rsid w:val="00F32258"/>
    <w:rsid w:val="00F654C7"/>
    <w:rsid w:val="00FD72E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0E6EB9D"/>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link w:val="Bulletpoints11Pt1Zchn"/>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customStyle="1" w:styleId="Bulletpoints11Pt1Zchn">
    <w:name w:val="Bulletpoints 11Pt1 Zchn"/>
    <w:basedOn w:val="Absatz-Standardschriftart"/>
    <w:link w:val="Bulletpoints11Pt1"/>
    <w:rsid w:val="00194D30"/>
    <w:rPr>
      <w:rFonts w:ascii="Arial" w:eastAsiaTheme="minorHAnsi" w:hAnsi="Arial" w:cs="Arial"/>
      <w:b/>
      <w:lang w:val="en-US" w:eastAsia="en-US"/>
    </w:rPr>
  </w:style>
  <w:style w:type="paragraph" w:styleId="Listenabsatz">
    <w:name w:val="List Paragraph"/>
    <w:basedOn w:val="Standard"/>
    <w:uiPriority w:val="34"/>
    <w:rsid w:val="009648AC"/>
    <w:pPr>
      <w:ind w:left="720"/>
      <w:contextualSpacing/>
    </w:pPr>
  </w:style>
  <w:style w:type="character" w:customStyle="1" w:styleId="NichtaufgelsteErwhnung1">
    <w:name w:val="Nicht aufgelöste Erwähnung1"/>
    <w:basedOn w:val="Absatz-Standardschriftart"/>
    <w:uiPriority w:val="99"/>
    <w:rsid w:val="008E64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294588">
      <w:bodyDiv w:val="1"/>
      <w:marLeft w:val="0"/>
      <w:marRight w:val="0"/>
      <w:marTop w:val="0"/>
      <w:marBottom w:val="0"/>
      <w:divBdr>
        <w:top w:val="none" w:sz="0" w:space="0" w:color="auto"/>
        <w:left w:val="none" w:sz="0" w:space="0" w:color="auto"/>
        <w:bottom w:val="none" w:sz="0" w:space="0" w:color="auto"/>
        <w:right w:val="none" w:sz="0" w:space="0" w:color="auto"/>
      </w:divBdr>
    </w:div>
    <w:div w:id="761493701">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ebhe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047C1-32ED-4DEB-9974-F01B4C812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588</Words>
  <Characters>3705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15</cp:revision>
  <dcterms:created xsi:type="dcterms:W3CDTF">2022-08-02T11:32:00Z</dcterms:created>
  <dcterms:modified xsi:type="dcterms:W3CDTF">2025-08-04T08:23:00Z</dcterms:modified>
  <cp:category>Presseinformation</cp:category>
</cp:coreProperties>
</file>